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356"/>
      </w:tblGrid>
      <w:tr w:rsidR="00D0336F" w:rsidRPr="00D0336F" w:rsidTr="007279EF">
        <w:trPr>
          <w:cantSplit/>
        </w:trPr>
        <w:tc>
          <w:tcPr>
            <w:tcW w:w="2498" w:type="dxa"/>
            <w:vMerge w:val="restart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FACOLTA’LETTERE E</w:t>
            </w:r>
            <w:r w:rsidR="0018751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FILOSOFIA, LINGUE E BENI CULTURALI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CORSO  DI LAUREA MAGISTRALE IN LINGUE MODERNE, LETTERATURE E TRADUZIONE </w:t>
            </w:r>
          </w:p>
          <w:p w:rsid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it-IT"/>
              </w:rPr>
            </w:pPr>
            <w:r w:rsidRPr="005C5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it-IT"/>
              </w:rPr>
              <w:t>CLASSE LM37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ind w:firstLine="34"/>
              <w:jc w:val="center"/>
              <w:rPr>
                <w:rFonts w:ascii="Times" w:eastAsia="Times" w:hAnsi="Times"/>
                <w:b/>
                <w:i/>
                <w:noProof/>
                <w:sz w:val="24"/>
                <w:szCs w:val="24"/>
                <w:lang w:eastAsia="it-IT"/>
              </w:rPr>
            </w:pPr>
            <w:r w:rsidRPr="00D0336F">
              <w:rPr>
                <w:rFonts w:ascii="Times" w:eastAsia="Times" w:hAnsi="Times"/>
                <w:b/>
                <w:i/>
                <w:noProof/>
                <w:sz w:val="24"/>
                <w:szCs w:val="24"/>
                <w:lang w:eastAsia="it-IT"/>
              </w:rPr>
              <w:t>Requisiti di ammissione</w:t>
            </w:r>
          </w:p>
          <w:p w:rsidR="00D0336F" w:rsidRDefault="00D0336F" w:rsidP="00D0336F">
            <w:pPr>
              <w:spacing w:line="240" w:lineRule="auto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it-IT"/>
              </w:rPr>
            </w:pPr>
            <w:r w:rsidRPr="00D0336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it-IT"/>
              </w:rPr>
              <w:t xml:space="preserve"> </w:t>
            </w:r>
            <w:r w:rsidRPr="00D0336F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it-IT"/>
              </w:rPr>
              <w:t xml:space="preserve">La verifica della personale preparazione per l'accesso al Corso di Laurea Magistrale LM-37 Lingue Moderne, Letterature e Traduzione è obbligatoria. E' consentito l'accesso ai laureati nei Corsi di Laurea Triennale, ai laureati della laurea quadriennale o in possesso di altro titolo di studio riconosciuto idoneo. Inoltre è consentito l'accesso ai laureati che abbiano acquisito conoscenze e competenze linguistiche (assimilabili al livello C-1 del Common </w:t>
            </w:r>
            <w:proofErr w:type="spellStart"/>
            <w:r w:rsidRPr="00D0336F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it-IT"/>
              </w:rPr>
              <w:t>European</w:t>
            </w:r>
            <w:proofErr w:type="spellEnd"/>
            <w:r w:rsidRPr="00D0336F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it-IT"/>
              </w:rPr>
              <w:t xml:space="preserve"> Framework of Reference) e siano in possesso di ulteriori conoscenze relative alle discipline che caratterizzeranno il Corso di Laurea Magistrale. </w:t>
            </w:r>
          </w:p>
          <w:p w:rsidR="00290115" w:rsidRDefault="00290115" w:rsidP="00D0336F">
            <w:pPr>
              <w:spacing w:line="240" w:lineRule="auto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it-IT"/>
              </w:rPr>
            </w:pPr>
          </w:p>
          <w:p w:rsidR="00290115" w:rsidRPr="00D0336F" w:rsidRDefault="00290115" w:rsidP="00D0336F">
            <w:pPr>
              <w:spacing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Modalità di verifica della preparazione individuale:</w:t>
            </w:r>
          </w:p>
          <w:p w:rsid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Colloquio orale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Criterio di valutazione delle prove di ammissione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La Commissione valuterà le competenze linguistiche in riferimento al Common </w:t>
            </w:r>
            <w:proofErr w:type="spellStart"/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European</w:t>
            </w:r>
            <w:proofErr w:type="spellEnd"/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Framework of Reference</w:t>
            </w:r>
            <w:r w:rsidR="006C519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, </w:t>
            </w:r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le conoscenze storico-letterarie delle civiltà legate alle lingue scelte</w:t>
            </w:r>
            <w:r w:rsidR="006C519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e conoscenze avanzate della varietà del repertorio linguistico italiano</w:t>
            </w:r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.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Materie oggetto della prova di valutazione</w:t>
            </w:r>
          </w:p>
          <w:p w:rsidR="00D0336F" w:rsidRPr="00D0336F" w:rsidRDefault="00D0336F" w:rsidP="00D0336F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MS Mincho" w:hAnsi="Times New Roman"/>
                <w:szCs w:val="18"/>
                <w:lang w:eastAsia="ja-JP"/>
              </w:rPr>
            </w:pPr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Attraverso la prova si valuterà il possesso delle conoscenze individua</w:t>
            </w:r>
            <w:r w:rsidR="008D2D62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li dei partecipanti su:  lingua italiana, </w:t>
            </w:r>
            <w:r w:rsidRPr="00D0336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letteratura italiana,  prima lingua e letteratura straniera, seconda lingua e letteratura straniera</w:t>
            </w:r>
            <w:r w:rsidRPr="00D0336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. </w:t>
            </w:r>
          </w:p>
          <w:p w:rsidR="00D0336F" w:rsidRPr="00D0336F" w:rsidRDefault="00D0336F" w:rsidP="00D0336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Numero dei posti riservati agli studenti </w:t>
            </w:r>
            <w:r w:rsidR="005159C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extracomunitari</w:t>
            </w:r>
          </w:p>
          <w:p w:rsidR="005159C3" w:rsidRDefault="005159C3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N° 15 posti </w:t>
            </w:r>
          </w:p>
          <w:p w:rsidR="005159C3" w:rsidRPr="00D0336F" w:rsidRDefault="005159C3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 cui n° 4 posti riservati a studenti cinesi</w:t>
            </w: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Termine presentazione domande on line: </w:t>
            </w: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it-IT"/>
              </w:rPr>
              <w:footnoteReference w:id="1"/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it-IT"/>
              </w:rPr>
            </w:pPr>
          </w:p>
          <w:p w:rsidR="00D0336F" w:rsidRPr="00D0336F" w:rsidRDefault="00D0336F" w:rsidP="00F814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143B"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 xml:space="preserve">Ore 23,59 del </w:t>
            </w:r>
            <w:r w:rsidR="00F8143B" w:rsidRPr="00F8143B"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28 febbraio 2015</w:t>
            </w: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Luoghi e date di svolgimento</w:t>
            </w: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it-IT"/>
              </w:rPr>
            </w:pPr>
          </w:p>
          <w:p w:rsidR="00D0336F" w:rsidRPr="00D0336F" w:rsidRDefault="00F8143B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8 aprile 2015</w:t>
            </w:r>
            <w:r w:rsidR="00D0336F" w:rsidRPr="00D0336F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 alle ore</w:t>
            </w:r>
            <w:r w:rsidR="003F351A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 </w:t>
            </w:r>
            <w:r w:rsidR="0067297D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10,00 </w:t>
            </w:r>
            <w:r w:rsidR="00D0336F" w:rsidRPr="003F71D9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in </w:t>
            </w:r>
            <w:r w:rsidR="003F351A" w:rsidRPr="003F71D9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SP</w:t>
            </w:r>
            <w:r w:rsidR="0067297D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</w:t>
            </w:r>
            <w:bookmarkStart w:id="0" w:name="_GoBack"/>
            <w:bookmarkEnd w:id="0"/>
          </w:p>
          <w:p w:rsid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dell’edificio Sperimentale Tabacchi in via </w:t>
            </w:r>
            <w:proofErr w:type="spellStart"/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Calasso</w:t>
            </w:r>
            <w:proofErr w:type="spellEnd"/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3/A</w:t>
            </w:r>
          </w:p>
          <w:p w:rsidR="00A6509D" w:rsidRPr="003F71D9" w:rsidRDefault="00A6509D" w:rsidP="00A6509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</w:pPr>
          </w:p>
          <w:p w:rsidR="003F351A" w:rsidRPr="003F71D9" w:rsidRDefault="00A6509D" w:rsidP="00A6509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</w:pPr>
            <w:r w:rsidRPr="003F71D9"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  <w:t>I candidati sono invitati a presentarsi almeno un’ora prima dello svolgimento della prova per l’espletamento delle formalità amministrative di riconoscimento del candidato.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Note: 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I candidati saranno ammessi a sostenere la prova di preparazione individuale muniti di domanda di ammissione, valido documento di riconoscimento e fotocopia dello stesso, distinta di pagamento del contributo di iscrizione alla prova, pena l’esclusione. 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In aula non saranno ammesse apparecchiature telefoniche. 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I candidati che all’orario di inizio della prova non dovessero essere presenti saranno considerati rinunciatari, con conseguente decadenza dal diritto di partecipare alla prova. 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La verifica consisterà in una prova orale che lo studente sosterrà con una commissione che </w:t>
            </w:r>
            <w:r w:rsidR="002C0CCC">
              <w:rPr>
                <w:rFonts w:ascii="Times New Roman" w:eastAsia="Times New Roman" w:hAnsi="Times New Roman"/>
                <w:bCs/>
                <w:lang w:eastAsia="it-IT"/>
              </w:rPr>
              <w:t>accerterà</w:t>
            </w: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 il possesso delle conoscenze individuali dei partecipanti nei settori coerenti con la tipologia degli studi che si intende intraprendere. 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In esito allo svolgimento della prova potranno immatricolarsi gli studenti che avranno superato il colloquio. </w:t>
            </w:r>
          </w:p>
          <w:p w:rsidR="007E39BE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 xml:space="preserve">Il mancato superamento della verifica dell’adeguatezza della preparazione individuale non permette l’immatricolazione. Pertanto potranno immatricolarsi gli studenti che avranno conseguito nella prova esito positivo. </w:t>
            </w:r>
          </w:p>
          <w:p w:rsidR="003F351A" w:rsidRPr="007E39BE" w:rsidRDefault="007E39BE" w:rsidP="007E39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bCs/>
                <w:lang w:eastAsia="it-IT"/>
              </w:rPr>
              <w:t>Le prove saranno in ogni caso precedute, per ciascun candidato, dalla verifica di sussistenza del requisito curriculare richiesto.</w:t>
            </w:r>
          </w:p>
        </w:tc>
      </w:tr>
      <w:tr w:rsidR="00D0336F" w:rsidRPr="00D0336F" w:rsidTr="007279EF">
        <w:trPr>
          <w:cantSplit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Termini e luogo di pubblicazione </w:t>
            </w:r>
            <w:r w:rsidR="003F35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dei risultati della prova</w:t>
            </w:r>
          </w:p>
          <w:p w:rsidR="003F351A" w:rsidRPr="003F71D9" w:rsidRDefault="003F351A" w:rsidP="009850D5">
            <w:pPr>
              <w:spacing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  <w:p w:rsidR="009850D5" w:rsidRPr="003F71D9" w:rsidRDefault="003F351A" w:rsidP="00703C58">
            <w:pPr>
              <w:spacing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F71D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I risultati della prova saranno pubblicati sul sito istituzionale d’ateneo </w:t>
            </w:r>
            <w:hyperlink r:id="rId8" w:history="1">
              <w:r w:rsidRPr="003F71D9">
                <w:rPr>
                  <w:rStyle w:val="Collegamentoipertestuale"/>
                  <w:rFonts w:asciiTheme="majorHAnsi" w:eastAsia="Times New Roman" w:hAnsiTheme="majorHAnsi"/>
                  <w:sz w:val="24"/>
                  <w:szCs w:val="24"/>
                  <w:lang w:eastAsia="it-IT"/>
                </w:rPr>
                <w:t>http://www.unisalento.it</w:t>
              </w:r>
            </w:hyperlink>
            <w:r w:rsidRPr="003F71D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e sul sito della Facoltà </w:t>
            </w:r>
            <w:hyperlink r:id="rId9" w:history="1">
              <w:r w:rsidRPr="003F71D9">
                <w:rPr>
                  <w:rStyle w:val="Collegamentoipertestuale"/>
                  <w:rFonts w:asciiTheme="majorHAnsi" w:eastAsia="Times New Roman" w:hAnsiTheme="majorHAnsi"/>
                  <w:sz w:val="24"/>
                  <w:szCs w:val="24"/>
                  <w:lang w:eastAsia="it-IT"/>
                </w:rPr>
                <w:t>https://www.letterelinguebbcc.unisalento.it/homepage</w:t>
              </w:r>
            </w:hyperlink>
            <w:r w:rsidRPr="003F71D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entro 10 giorni dallo svolgimento della prova. </w:t>
            </w:r>
            <w:r w:rsidR="00703C58" w:rsidRPr="003F71D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La pubblicazione varrà ai sensi dell’art. 8 della L. 241/90. Per l’effetto non saranno effettuate comunicazioni al domicilio dei candidati. </w:t>
            </w:r>
          </w:p>
          <w:p w:rsidR="009850D5" w:rsidRDefault="009850D5" w:rsidP="009850D5">
            <w:pPr>
              <w:spacing w:line="240" w:lineRule="auto"/>
              <w:jc w:val="both"/>
              <w:rPr>
                <w:rFonts w:asciiTheme="majorHAnsi" w:eastAsia="Times New Roman" w:hAnsiTheme="majorHAnsi"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9850D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  <w:trHeight w:val="3838"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Modalità presentazione domande di partecipazione alla prova di ammissione valutazione della preparazione individuale:</w:t>
            </w:r>
          </w:p>
          <w:p w:rsidR="00D0336F" w:rsidRPr="00D0336F" w:rsidRDefault="00D0336F" w:rsidP="00D0336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La domanda dovrà essere presentata improrogabilmente a decorrere dalla data di pubblicazione del presente avviso di bando sul sito istituzionale di ateneo </w:t>
            </w:r>
            <w:hyperlink r:id="rId10" w:history="1">
              <w:r w:rsidRPr="00D033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www.unisalento.it</w:t>
              </w:r>
            </w:hyperlink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 nonché sul sito web di Facoltà </w:t>
            </w:r>
            <w:hyperlink r:id="rId11" w:history="1">
              <w:r w:rsidRPr="00D033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www.letterelinguebbcc.unisalento.it</w:t>
              </w:r>
            </w:hyperlink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ed entro il termine di scadenza fissato nel presente Avviso. </w:t>
            </w:r>
          </w:p>
          <w:p w:rsidR="00D0336F" w:rsidRPr="00D0336F" w:rsidRDefault="00D0336F" w:rsidP="00D0336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Ogni ulteriore informazione relativa alle modalità di svolgimento del test di valutazione è definita nel Bando generale di ammissione pubblicato sul sito web di ateneo </w:t>
            </w:r>
            <w:hyperlink r:id="rId12" w:history="1">
              <w:r w:rsidRPr="00D033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www.unisalento.it</w:t>
              </w:r>
            </w:hyperlink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nel Link  “</w:t>
            </w:r>
            <w:r w:rsidRPr="00D0336F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Iscrizioni</w:t>
            </w:r>
            <w:r w:rsidRPr="00D0336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”, cui si fa espresso rinvio.</w:t>
            </w:r>
          </w:p>
          <w:p w:rsidR="00D0336F" w:rsidRPr="00D0336F" w:rsidRDefault="00D0336F" w:rsidP="00D0336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  <w:trHeight w:val="2841"/>
        </w:trPr>
        <w:tc>
          <w:tcPr>
            <w:tcW w:w="2498" w:type="dxa"/>
            <w:vMerge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Pubblicazione elenco degli ammessi:</w:t>
            </w:r>
          </w:p>
          <w:p w:rsidR="00D0336F" w:rsidRPr="00D0336F" w:rsidRDefault="00D0336F" w:rsidP="00D0336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D0336F" w:rsidRPr="003F351A" w:rsidRDefault="00D0336F" w:rsidP="00D0336F">
            <w:pPr>
              <w:spacing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F351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La graduatoria degli ammessi alla frequenza sarà pubblicata sul sito internet di ateneo all’indirizzo </w:t>
            </w:r>
            <w:hyperlink r:id="rId13" w:history="1">
              <w:r w:rsidRPr="003F351A">
                <w:rPr>
                  <w:rFonts w:asciiTheme="majorHAnsi" w:eastAsia="Times New Roman" w:hAnsiTheme="majorHAnsi"/>
                  <w:color w:val="0000FF"/>
                  <w:sz w:val="24"/>
                  <w:szCs w:val="24"/>
                  <w:u w:val="single"/>
                  <w:lang w:eastAsia="it-IT"/>
                </w:rPr>
                <w:t>http://www.unisalento.it</w:t>
              </w:r>
            </w:hyperlink>
            <w:r w:rsidRPr="003F351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link “</w:t>
            </w:r>
            <w:r w:rsidRPr="003F351A">
              <w:rPr>
                <w:rFonts w:asciiTheme="majorHAnsi" w:eastAsia="Times New Roman" w:hAnsiTheme="majorHAnsi"/>
                <w:i/>
                <w:sz w:val="24"/>
                <w:szCs w:val="24"/>
                <w:lang w:eastAsia="it-IT"/>
              </w:rPr>
              <w:t>bandi e concorsi</w:t>
            </w:r>
            <w:r w:rsidRPr="003F351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”, nonché sul sito web di Facoltà.</w:t>
            </w:r>
          </w:p>
          <w:p w:rsidR="00D0336F" w:rsidRPr="003F351A" w:rsidRDefault="00D0336F" w:rsidP="00D0336F">
            <w:pPr>
              <w:spacing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F351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La pubblicazione sul sito istituzionale di Ateneo assolve agli obblighi di legge.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keepNext/>
              <w:spacing w:line="240" w:lineRule="auto"/>
              <w:outlineLvl w:val="1"/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0336F"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  <w:lang w:eastAsia="it-IT"/>
              </w:rPr>
              <w:t>Iscrizione ad anni di corso successivi al primo da coprire per trasferimento, passaggio di corso e per riconoscimento di CFU</w:t>
            </w:r>
          </w:p>
          <w:p w:rsid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9850D5" w:rsidRDefault="00703C58" w:rsidP="009850D5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Anche coloro che intendano traferirsi (trasferimenti in entrata e passaggi di corso) dovranno sottoporsi alla prova di verifica della preparazione individuale.</w:t>
            </w:r>
          </w:p>
          <w:p w:rsidR="00703C58" w:rsidRPr="007506CE" w:rsidRDefault="00703C58" w:rsidP="009850D5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Previa verifica da parte della Commissione Didattica Paritetica, saranno riconosciuti tutti i CFU conseguiti dagli studenti nei SSD previsti dall’Ordinamento del corso di studi. La Commissione Didattica stabilirà, caso per caso, a seconda dei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cfu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acquisiti, l’anno di corso al quale lo studente è ammesso. </w:t>
            </w: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0336F" w:rsidRPr="00D0336F" w:rsidTr="007279EF">
        <w:trPr>
          <w:cantSplit/>
        </w:trPr>
        <w:tc>
          <w:tcPr>
            <w:tcW w:w="2498" w:type="dxa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Responsabile del procedimento </w:t>
            </w:r>
          </w:p>
          <w:p w:rsid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D03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Manager didattico della Facoltà</w:t>
            </w:r>
          </w:p>
          <w:p w:rsid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Dott.ssa </w:t>
            </w:r>
            <w:r w:rsidR="00456C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Marina Angela Montinaro</w:t>
            </w:r>
          </w:p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  <w:p w:rsidR="00D0336F" w:rsidRPr="00FA622A" w:rsidRDefault="007E39BE" w:rsidP="00F814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E39B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 ulteriori informazioni, rivolgersi a  SPORTELLO UNICO, FRONT-OFFICE RICEVIMENTO STUDENTI, Facoltà di Lettere e Filosofia, Lingue e Beni Culturali, Edificio Sperimentale Tabacchi – Via </w:t>
            </w:r>
            <w:proofErr w:type="spellStart"/>
            <w:r w:rsidRPr="007E39B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Calasso</w:t>
            </w:r>
            <w:proofErr w:type="spellEnd"/>
            <w:r w:rsidRPr="007E39B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3/A – 73100 Lecce - secondo il seguente orario </w:t>
            </w:r>
          </w:p>
        </w:tc>
      </w:tr>
      <w:tr w:rsidR="00D0336F" w:rsidRPr="00D0336F" w:rsidTr="007279EF">
        <w:trPr>
          <w:cantSplit/>
        </w:trPr>
        <w:tc>
          <w:tcPr>
            <w:tcW w:w="2498" w:type="dxa"/>
          </w:tcPr>
          <w:p w:rsidR="00D0336F" w:rsidRP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D0336F" w:rsidRDefault="00D0336F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C949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Commissione Valutazione dell’adeguatezza della preparazione iniziale</w:t>
            </w:r>
          </w:p>
          <w:p w:rsidR="00E16DDE" w:rsidRPr="00E16DDE" w:rsidRDefault="00E16DDE" w:rsidP="00D0336F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</w:pPr>
          </w:p>
          <w:p w:rsidR="00E16DDE" w:rsidRPr="00E16DDE" w:rsidRDefault="00E16DDE" w:rsidP="00D0336F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</w:p>
          <w:p w:rsidR="00E16DDE" w:rsidRPr="00E16DDE" w:rsidRDefault="00E16DDE" w:rsidP="00E70CD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70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 Prof.ssa Paola Leone</w:t>
            </w:r>
          </w:p>
          <w:p w:rsidR="00E16DDE" w:rsidRPr="00E16DDE" w:rsidRDefault="00E16DDE" w:rsidP="00E16DDE">
            <w:pPr>
              <w:spacing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Prof. Fernando 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Llorens</w:t>
            </w:r>
            <w:proofErr w:type="spellEnd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Bahena</w:t>
            </w:r>
            <w:proofErr w:type="spellEnd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suppl</w:t>
            </w:r>
            <w:proofErr w:type="spellEnd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 Prof.ss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a </w:t>
            </w: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Virginia 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Sciutto</w:t>
            </w:r>
            <w:proofErr w:type="spellEnd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, Antonella De Laurentiis)</w:t>
            </w:r>
          </w:p>
          <w:p w:rsidR="00E16DDE" w:rsidRPr="00E16DDE" w:rsidRDefault="00E16DDE" w:rsidP="00E16DDE">
            <w:pPr>
              <w:spacing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Prof.ssa Alessandra Rollo (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suppl</w:t>
            </w:r>
            <w:proofErr w:type="spellEnd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 prof.ssa Maria Immacolata Spagna)</w:t>
            </w:r>
          </w:p>
          <w:p w:rsidR="00E16DDE" w:rsidRPr="00E16DDE" w:rsidRDefault="00E16DDE" w:rsidP="00E16DDE">
            <w:pPr>
              <w:spacing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Prof. Gerhard 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Hempel</w:t>
            </w:r>
            <w:proofErr w:type="spellEnd"/>
          </w:p>
          <w:p w:rsidR="00D0336F" w:rsidRPr="00E70CD5" w:rsidRDefault="00E16DDE" w:rsidP="00E70CD5">
            <w:pPr>
              <w:spacing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Prof.ssa Maria Rosaria Provenzano</w:t>
            </w:r>
            <w:r w:rsidR="00E70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="00E70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suppl</w:t>
            </w:r>
            <w:proofErr w:type="spellEnd"/>
            <w:r w:rsidR="00E70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Prof. Thomas </w:t>
            </w:r>
            <w:proofErr w:type="spellStart"/>
            <w:r w:rsidRPr="00E16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Christiansen</w:t>
            </w:r>
            <w:proofErr w:type="spellEnd"/>
            <w:r w:rsidR="00E70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)</w:t>
            </w:r>
          </w:p>
          <w:p w:rsidR="00D0336F" w:rsidRPr="00D0336F" w:rsidRDefault="00D0336F" w:rsidP="00E16DDE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E70CD5" w:rsidRPr="00D0336F" w:rsidTr="007279EF">
        <w:trPr>
          <w:cantSplit/>
        </w:trPr>
        <w:tc>
          <w:tcPr>
            <w:tcW w:w="2498" w:type="dxa"/>
          </w:tcPr>
          <w:p w:rsidR="00E70CD5" w:rsidRPr="00D0336F" w:rsidRDefault="00E70CD5" w:rsidP="00D033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56" w:type="dxa"/>
          </w:tcPr>
          <w:p w:rsidR="00E70CD5" w:rsidRPr="00C94901" w:rsidRDefault="00E70CD5" w:rsidP="00D0336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:rsidR="00D56701" w:rsidRDefault="00D56701" w:rsidP="00D0336F"/>
    <w:p w:rsidR="005C5556" w:rsidRDefault="005C5556" w:rsidP="00D0336F"/>
    <w:p w:rsidR="005C5556" w:rsidRPr="006A5052" w:rsidRDefault="005C5556" w:rsidP="005C5556">
      <w:pPr>
        <w:rPr>
          <w:rFonts w:asciiTheme="majorHAnsi" w:hAnsiTheme="majorHAnsi"/>
          <w:sz w:val="24"/>
          <w:szCs w:val="24"/>
        </w:rPr>
      </w:pPr>
      <w:r w:rsidRPr="006A5052">
        <w:rPr>
          <w:rFonts w:asciiTheme="majorHAnsi" w:hAnsiTheme="majorHAnsi"/>
          <w:sz w:val="24"/>
          <w:szCs w:val="24"/>
        </w:rPr>
        <w:t xml:space="preserve">Lecce, </w:t>
      </w:r>
      <w:r w:rsidR="00F8143B">
        <w:rPr>
          <w:rFonts w:asciiTheme="majorHAnsi" w:hAnsiTheme="majorHAnsi"/>
          <w:sz w:val="24"/>
          <w:szCs w:val="24"/>
        </w:rPr>
        <w:t>29 gennaio 2015</w:t>
      </w:r>
    </w:p>
    <w:p w:rsidR="005C5556" w:rsidRPr="006A5052" w:rsidRDefault="005C5556" w:rsidP="005C5556">
      <w:pPr>
        <w:rPr>
          <w:rFonts w:asciiTheme="majorHAnsi" w:hAnsiTheme="majorHAnsi"/>
          <w:sz w:val="24"/>
          <w:szCs w:val="24"/>
        </w:rPr>
      </w:pPr>
    </w:p>
    <w:p w:rsidR="005C5556" w:rsidRPr="006A5052" w:rsidRDefault="005C5556" w:rsidP="005C5556">
      <w:pPr>
        <w:rPr>
          <w:rFonts w:asciiTheme="majorHAnsi" w:hAnsiTheme="majorHAnsi"/>
          <w:sz w:val="24"/>
          <w:szCs w:val="24"/>
        </w:rPr>
      </w:pPr>
    </w:p>
    <w:p w:rsidR="005C5556" w:rsidRPr="006A5052" w:rsidRDefault="005C5556" w:rsidP="005C5556">
      <w:pPr>
        <w:ind w:left="3540" w:firstLine="708"/>
        <w:rPr>
          <w:rFonts w:asciiTheme="majorHAnsi" w:hAnsiTheme="majorHAnsi"/>
          <w:sz w:val="24"/>
          <w:szCs w:val="24"/>
        </w:rPr>
      </w:pPr>
      <w:r w:rsidRPr="006A5052">
        <w:rPr>
          <w:rFonts w:asciiTheme="majorHAnsi" w:hAnsiTheme="majorHAnsi"/>
          <w:sz w:val="24"/>
          <w:szCs w:val="24"/>
        </w:rPr>
        <w:t xml:space="preserve"> Il Preside</w:t>
      </w:r>
    </w:p>
    <w:p w:rsidR="005C5556" w:rsidRPr="006A5052" w:rsidRDefault="005C5556" w:rsidP="005C5556">
      <w:pPr>
        <w:ind w:left="4248"/>
        <w:rPr>
          <w:rFonts w:asciiTheme="majorHAnsi" w:hAnsiTheme="majorHAnsi"/>
          <w:sz w:val="24"/>
          <w:szCs w:val="24"/>
        </w:rPr>
      </w:pPr>
      <w:r w:rsidRPr="006A5052">
        <w:rPr>
          <w:rFonts w:asciiTheme="majorHAnsi" w:hAnsiTheme="majorHAnsi"/>
          <w:sz w:val="24"/>
          <w:szCs w:val="24"/>
        </w:rPr>
        <w:t>della Facoltà di Lettere, Filosofia, Lingue e Beni Culturali</w:t>
      </w:r>
    </w:p>
    <w:p w:rsidR="005C5556" w:rsidRPr="006A5052" w:rsidRDefault="005C5556" w:rsidP="005C5556">
      <w:pPr>
        <w:rPr>
          <w:rFonts w:asciiTheme="majorHAnsi" w:hAnsiTheme="majorHAnsi"/>
          <w:sz w:val="24"/>
          <w:szCs w:val="24"/>
        </w:rPr>
      </w:pPr>
    </w:p>
    <w:p w:rsidR="005C5556" w:rsidRPr="006A5052" w:rsidRDefault="005C5556" w:rsidP="005C5556">
      <w:pPr>
        <w:ind w:left="3540" w:firstLine="708"/>
        <w:rPr>
          <w:rFonts w:asciiTheme="majorHAnsi" w:hAnsiTheme="majorHAnsi"/>
          <w:sz w:val="24"/>
          <w:szCs w:val="24"/>
        </w:rPr>
      </w:pPr>
      <w:r w:rsidRPr="006A5052">
        <w:rPr>
          <w:rFonts w:asciiTheme="majorHAnsi" w:hAnsiTheme="majorHAnsi"/>
          <w:sz w:val="24"/>
          <w:szCs w:val="24"/>
        </w:rPr>
        <w:t>Il Manager Didattico</w:t>
      </w:r>
      <w:r w:rsidR="009850D5">
        <w:rPr>
          <w:rFonts w:asciiTheme="majorHAnsi" w:hAnsiTheme="majorHAnsi"/>
          <w:sz w:val="24"/>
          <w:szCs w:val="24"/>
        </w:rPr>
        <w:t xml:space="preserve"> Coordinatore</w:t>
      </w:r>
    </w:p>
    <w:p w:rsidR="005C5556" w:rsidRPr="006A5052" w:rsidRDefault="005C5556" w:rsidP="005C5556">
      <w:pPr>
        <w:ind w:left="4248"/>
        <w:rPr>
          <w:rFonts w:asciiTheme="majorHAnsi" w:hAnsiTheme="majorHAnsi"/>
          <w:sz w:val="24"/>
          <w:szCs w:val="24"/>
        </w:rPr>
      </w:pPr>
      <w:r w:rsidRPr="006A5052">
        <w:rPr>
          <w:rFonts w:asciiTheme="majorHAnsi" w:hAnsiTheme="majorHAnsi"/>
          <w:sz w:val="24"/>
          <w:szCs w:val="24"/>
        </w:rPr>
        <w:t>della Facoltà di Lettere, Filosofia, Lingue e Beni Culturali</w:t>
      </w:r>
    </w:p>
    <w:p w:rsidR="005C5556" w:rsidRPr="00D0336F" w:rsidRDefault="005C5556" w:rsidP="00D0336F"/>
    <w:sectPr w:rsidR="005C5556" w:rsidRPr="00D0336F">
      <w:headerReference w:type="default" r:id="rId14"/>
      <w:pgSz w:w="11906" w:h="16838"/>
      <w:pgMar w:top="1826" w:right="794" w:bottom="1134" w:left="79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6" w:rsidRDefault="001E64E6">
      <w:pPr>
        <w:spacing w:line="240" w:lineRule="auto"/>
      </w:pPr>
      <w:r>
        <w:separator/>
      </w:r>
    </w:p>
  </w:endnote>
  <w:endnote w:type="continuationSeparator" w:id="0">
    <w:p w:rsidR="001E64E6" w:rsidRDefault="001E6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6" w:rsidRDefault="001E64E6">
      <w:pPr>
        <w:spacing w:line="240" w:lineRule="auto"/>
      </w:pPr>
      <w:r>
        <w:separator/>
      </w:r>
    </w:p>
  </w:footnote>
  <w:footnote w:type="continuationSeparator" w:id="0">
    <w:p w:rsidR="001E64E6" w:rsidRDefault="001E64E6">
      <w:pPr>
        <w:spacing w:line="240" w:lineRule="auto"/>
      </w:pPr>
      <w:r>
        <w:continuationSeparator/>
      </w:r>
    </w:p>
  </w:footnote>
  <w:footnote w:id="1">
    <w:p w:rsidR="009850D5" w:rsidRPr="00784577" w:rsidRDefault="00D0336F" w:rsidP="009850D5">
      <w:pPr>
        <w:spacing w:line="240" w:lineRule="auto"/>
        <w:rPr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9850D5">
        <w:rPr>
          <w:lang w:eastAsia="it-IT"/>
        </w:rPr>
        <w:t xml:space="preserve">La prenotazione on-line </w:t>
      </w:r>
      <w:r w:rsidR="003F351A">
        <w:rPr>
          <w:lang w:eastAsia="it-IT"/>
        </w:rPr>
        <w:t>si esegue</w:t>
      </w:r>
      <w:r w:rsidR="009850D5">
        <w:rPr>
          <w:lang w:eastAsia="it-IT"/>
        </w:rPr>
        <w:t xml:space="preserve"> sul Portale degli Studenti all’indirizzo </w:t>
      </w:r>
      <w:hyperlink r:id="rId1" w:history="1">
        <w:r w:rsidR="009850D5">
          <w:rPr>
            <w:rStyle w:val="Collegamentoipertestuale"/>
          </w:rPr>
          <w:t>https://studenti.unisalento.it</w:t>
        </w:r>
      </w:hyperlink>
    </w:p>
    <w:p w:rsidR="00D0336F" w:rsidRDefault="00D0336F" w:rsidP="00D0336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375" w:type="dxa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810"/>
      <w:gridCol w:w="4077"/>
      <w:gridCol w:w="2763"/>
    </w:tblGrid>
    <w:tr w:rsidR="00286743">
      <w:trPr>
        <w:jc w:val="center"/>
      </w:trPr>
      <w:tc>
        <w:tcPr>
          <w:tcW w:w="3810" w:type="dxa"/>
        </w:tcPr>
        <w:p w:rsidR="00286743" w:rsidRDefault="00D56701">
          <w:pPr>
            <w:pStyle w:val="Intestazione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noProof/>
              <w:color w:val="C8A015"/>
              <w:sz w:val="28"/>
              <w:szCs w:val="28"/>
              <w:lang w:eastAsia="it-IT"/>
            </w:rPr>
            <w:drawing>
              <wp:inline distT="0" distB="0" distL="0" distR="0">
                <wp:extent cx="2238375" cy="714375"/>
                <wp:effectExtent l="0" t="0" r="9525" b="9525"/>
                <wp:docPr id="1" name="Immagin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vAlign w:val="center"/>
        </w:tcPr>
        <w:p w:rsidR="00286743" w:rsidRDefault="00D51A07">
          <w:pPr>
            <w:pStyle w:val="Intestazione"/>
            <w:spacing w:line="260" w:lineRule="exact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  <w:t>FACOLTÀ</w:t>
          </w:r>
        </w:p>
        <w:p w:rsidR="00286743" w:rsidRDefault="00D51A07">
          <w:pPr>
            <w:pStyle w:val="Intestazione"/>
            <w:spacing w:line="260" w:lineRule="exact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  <w:t>DI LETTERE E FILOSOFIA, LINGUE E BENI CULTURALI</w:t>
          </w:r>
        </w:p>
        <w:p w:rsidR="00286743" w:rsidRDefault="00D51A07">
          <w:pPr>
            <w:pStyle w:val="Intestazione"/>
            <w:spacing w:line="260" w:lineRule="exact"/>
            <w:rPr>
              <w:rFonts w:ascii="Perpetua" w:eastAsia="Times New Roman" w:hAnsi="Perpetua"/>
              <w:color w:val="808080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/>
              <w:color w:val="808080"/>
              <w:sz w:val="17"/>
              <w:szCs w:val="17"/>
              <w:lang w:eastAsia="it-IT"/>
            </w:rPr>
            <w:t>Il Manager Didattico</w:t>
          </w:r>
        </w:p>
      </w:tc>
      <w:tc>
        <w:tcPr>
          <w:tcW w:w="2763" w:type="dxa"/>
          <w:vAlign w:val="center"/>
        </w:tcPr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Edificio Sperimentale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 xml:space="preserve">Via </w:t>
          </w:r>
          <w:proofErr w:type="spellStart"/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Calasso</w:t>
          </w:r>
          <w:proofErr w:type="spellEnd"/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 xml:space="preserve"> 3/A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I 73100 Lecce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Cs/>
              <w:color w:val="C38E13"/>
              <w:sz w:val="17"/>
              <w:szCs w:val="17"/>
              <w:lang w:eastAsia="it-IT"/>
            </w:rPr>
            <w:t>T</w:t>
          </w:r>
          <w:r>
            <w:rPr>
              <w:rFonts w:ascii="Perpetua" w:eastAsia="Times New Roman" w:hAnsi="Perpetua" w:cs="Perpetua"/>
              <w:b/>
              <w:color w:val="181512"/>
              <w:sz w:val="17"/>
              <w:szCs w:val="17"/>
              <w:lang w:eastAsia="it-IT"/>
            </w:rPr>
            <w:t xml:space="preserve"> </w:t>
          </w: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+39 0832 295429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Cs/>
              <w:color w:val="C38E13"/>
              <w:sz w:val="17"/>
              <w:szCs w:val="17"/>
              <w:lang w:eastAsia="it-IT"/>
            </w:rPr>
            <w:t>F</w:t>
          </w:r>
          <w:r>
            <w:rPr>
              <w:rFonts w:ascii="Perpetua" w:eastAsia="Times New Roman" w:hAnsi="Perpetua" w:cs="Perpetua"/>
              <w:b/>
              <w:color w:val="181512"/>
              <w:sz w:val="17"/>
              <w:szCs w:val="17"/>
              <w:lang w:eastAsia="it-IT"/>
            </w:rPr>
            <w:t xml:space="preserve"> </w:t>
          </w: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+39 0832 295431</w:t>
          </w:r>
        </w:p>
        <w:p w:rsidR="00286743" w:rsidRDefault="001E64E6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</w:p>
      </w:tc>
    </w:tr>
  </w:tbl>
  <w:p w:rsidR="00286743" w:rsidRDefault="001E64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8A8"/>
    <w:multiLevelType w:val="hybridMultilevel"/>
    <w:tmpl w:val="F9909F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A"/>
    <w:rsid w:val="000778E0"/>
    <w:rsid w:val="00097423"/>
    <w:rsid w:val="000A2868"/>
    <w:rsid w:val="000E20B5"/>
    <w:rsid w:val="00101727"/>
    <w:rsid w:val="001104B1"/>
    <w:rsid w:val="00123626"/>
    <w:rsid w:val="0014039F"/>
    <w:rsid w:val="00183B09"/>
    <w:rsid w:val="00187510"/>
    <w:rsid w:val="001A1B7B"/>
    <w:rsid w:val="001A1B95"/>
    <w:rsid w:val="001B3D82"/>
    <w:rsid w:val="001E64E6"/>
    <w:rsid w:val="001E6918"/>
    <w:rsid w:val="00216255"/>
    <w:rsid w:val="00237743"/>
    <w:rsid w:val="00245230"/>
    <w:rsid w:val="002871BA"/>
    <w:rsid w:val="00290115"/>
    <w:rsid w:val="002C0CCC"/>
    <w:rsid w:val="00323D0F"/>
    <w:rsid w:val="003661DA"/>
    <w:rsid w:val="003671D7"/>
    <w:rsid w:val="0037783C"/>
    <w:rsid w:val="003A6F12"/>
    <w:rsid w:val="003C1468"/>
    <w:rsid w:val="003D143C"/>
    <w:rsid w:val="003F351A"/>
    <w:rsid w:val="003F71D9"/>
    <w:rsid w:val="00405004"/>
    <w:rsid w:val="004103E6"/>
    <w:rsid w:val="00410576"/>
    <w:rsid w:val="00421ADF"/>
    <w:rsid w:val="0042412A"/>
    <w:rsid w:val="00454138"/>
    <w:rsid w:val="00456A55"/>
    <w:rsid w:val="00456CAB"/>
    <w:rsid w:val="004570C3"/>
    <w:rsid w:val="0046103C"/>
    <w:rsid w:val="00470FEC"/>
    <w:rsid w:val="004979D7"/>
    <w:rsid w:val="004A5102"/>
    <w:rsid w:val="004A5C73"/>
    <w:rsid w:val="004D375B"/>
    <w:rsid w:val="005159C3"/>
    <w:rsid w:val="00521F2C"/>
    <w:rsid w:val="00541637"/>
    <w:rsid w:val="005C27FC"/>
    <w:rsid w:val="005C5556"/>
    <w:rsid w:val="00607027"/>
    <w:rsid w:val="00651DB6"/>
    <w:rsid w:val="00671AC3"/>
    <w:rsid w:val="0067297D"/>
    <w:rsid w:val="0068151C"/>
    <w:rsid w:val="006B2C9B"/>
    <w:rsid w:val="006C5198"/>
    <w:rsid w:val="006C5C76"/>
    <w:rsid w:val="006C7CA7"/>
    <w:rsid w:val="00703C58"/>
    <w:rsid w:val="007540DC"/>
    <w:rsid w:val="007B437E"/>
    <w:rsid w:val="007B6D85"/>
    <w:rsid w:val="007E39BE"/>
    <w:rsid w:val="00896B91"/>
    <w:rsid w:val="008D2D62"/>
    <w:rsid w:val="00954863"/>
    <w:rsid w:val="009850D5"/>
    <w:rsid w:val="00985CAA"/>
    <w:rsid w:val="00991166"/>
    <w:rsid w:val="009B226C"/>
    <w:rsid w:val="009B41D4"/>
    <w:rsid w:val="00A05BA9"/>
    <w:rsid w:val="00A55D40"/>
    <w:rsid w:val="00A6509D"/>
    <w:rsid w:val="00A708A2"/>
    <w:rsid w:val="00AA3671"/>
    <w:rsid w:val="00AD5DA7"/>
    <w:rsid w:val="00B01C7E"/>
    <w:rsid w:val="00B16729"/>
    <w:rsid w:val="00B42410"/>
    <w:rsid w:val="00C03F79"/>
    <w:rsid w:val="00C52579"/>
    <w:rsid w:val="00C62728"/>
    <w:rsid w:val="00C94901"/>
    <w:rsid w:val="00CB6A41"/>
    <w:rsid w:val="00D0336F"/>
    <w:rsid w:val="00D41CAA"/>
    <w:rsid w:val="00D51A07"/>
    <w:rsid w:val="00D56701"/>
    <w:rsid w:val="00E16DDE"/>
    <w:rsid w:val="00E70CD5"/>
    <w:rsid w:val="00F1135B"/>
    <w:rsid w:val="00F20FA5"/>
    <w:rsid w:val="00F325DC"/>
    <w:rsid w:val="00F8143B"/>
    <w:rsid w:val="00F854A9"/>
    <w:rsid w:val="00FA1CA7"/>
    <w:rsid w:val="00FA622A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701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7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70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70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11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D0336F"/>
    <w:pPr>
      <w:spacing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3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0336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701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7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70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70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11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D0336F"/>
    <w:pPr>
      <w:spacing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3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0336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lento.it" TargetMode="External"/><Relationship Id="rId13" Type="http://schemas.openxmlformats.org/officeDocument/2006/relationships/hyperlink" Target="http://www.unisalen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salent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tterelinguebbcc.unisalen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al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tterelinguebbcc.unisalento.it/homepag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i.unisalento.it/Hom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2014-07-31T08:08:00Z</cp:lastPrinted>
  <dcterms:created xsi:type="dcterms:W3CDTF">2015-01-29T11:24:00Z</dcterms:created>
  <dcterms:modified xsi:type="dcterms:W3CDTF">2015-02-02T09:01:00Z</dcterms:modified>
</cp:coreProperties>
</file>